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Observation Papers EDUC 111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part of your required clinical experience, you will </w:t>
      </w:r>
      <w:r>
        <w:rPr>
          <w:rFonts w:ascii="Times New Roman" w:hAnsi="Times New Roman" w:cs="Times New Roman"/>
          <w:sz w:val="24"/>
          <w:szCs w:val="24"/>
        </w:rPr>
        <w:t xml:space="preserve">write four papers based on your </w:t>
      </w:r>
      <w:r>
        <w:rPr>
          <w:rFonts w:ascii="Times New Roman" w:hAnsi="Times New Roman" w:cs="Times New Roman"/>
          <w:sz w:val="24"/>
          <w:szCs w:val="24"/>
        </w:rPr>
        <w:t xml:space="preserve">classroom observations, one for each focus area. As you observe your class, </w:t>
      </w:r>
      <w:r w:rsidRPr="006C1F2D">
        <w:rPr>
          <w:rFonts w:ascii="Times New Roman" w:hAnsi="Times New Roman" w:cs="Times New Roman"/>
          <w:sz w:val="24"/>
          <w:szCs w:val="24"/>
        </w:rPr>
        <w:t>Take detailed notes during/after your clinical hours so that you have material to write quality reflections. You will synthesize your</w:t>
      </w:r>
      <w:r>
        <w:rPr>
          <w:rFonts w:ascii="Times New Roman" w:hAnsi="Times New Roman" w:cs="Times New Roman"/>
          <w:sz w:val="24"/>
          <w:szCs w:val="24"/>
        </w:rPr>
        <w:t xml:space="preserve"> notes into coherent reflective papers</w:t>
      </w:r>
      <w:r w:rsidRPr="006C1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6C1F2D">
        <w:rPr>
          <w:rFonts w:ascii="Times New Roman" w:hAnsi="Times New Roman" w:cs="Times New Roman"/>
          <w:sz w:val="24"/>
          <w:szCs w:val="24"/>
        </w:rPr>
        <w:t xml:space="preserve"> go beyond merely describing wha</w:t>
      </w:r>
      <w:r>
        <w:rPr>
          <w:rFonts w:ascii="Times New Roman" w:hAnsi="Times New Roman" w:cs="Times New Roman"/>
          <w:sz w:val="24"/>
          <w:szCs w:val="24"/>
        </w:rPr>
        <w:t>t you saw</w:t>
      </w:r>
      <w:r w:rsidRPr="006C1F2D">
        <w:rPr>
          <w:rFonts w:ascii="Times New Roman" w:hAnsi="Times New Roman" w:cs="Times New Roman"/>
          <w:sz w:val="24"/>
          <w:szCs w:val="24"/>
        </w:rPr>
        <w:t>. Descriptions provide facts information, details</w:t>
      </w:r>
      <w:r>
        <w:rPr>
          <w:rFonts w:ascii="Times New Roman" w:hAnsi="Times New Roman" w:cs="Times New Roman"/>
          <w:sz w:val="24"/>
          <w:szCs w:val="24"/>
        </w:rPr>
        <w:t xml:space="preserve"> (your notes)</w:t>
      </w:r>
      <w:r w:rsidRPr="006C1F2D">
        <w:rPr>
          <w:rFonts w:ascii="Times New Roman" w:hAnsi="Times New Roman" w:cs="Times New Roman"/>
          <w:sz w:val="24"/>
          <w:szCs w:val="24"/>
        </w:rPr>
        <w:t>. Reflections identify significance, evaluate strengths and weaknesses, make reasoned judgements, and draw conclusions</w:t>
      </w:r>
      <w:r>
        <w:rPr>
          <w:rFonts w:ascii="Times New Roman" w:hAnsi="Times New Roman" w:cs="Times New Roman"/>
          <w:sz w:val="24"/>
          <w:szCs w:val="24"/>
        </w:rPr>
        <w:t xml:space="preserve"> (your papers)</w:t>
      </w:r>
      <w:r w:rsidRPr="006C1F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While observing, p</w:t>
      </w:r>
      <w:r>
        <w:rPr>
          <w:rFonts w:ascii="Times New Roman" w:hAnsi="Times New Roman" w:cs="Times New Roman"/>
          <w:sz w:val="24"/>
          <w:szCs w:val="24"/>
        </w:rPr>
        <w:t>ay special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attention to each of the focus areas listed on the next page. Address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EACH </w:t>
      </w:r>
      <w:r>
        <w:rPr>
          <w:rFonts w:ascii="Times New Roman" w:hAnsi="Times New Roman" w:cs="Times New Roman"/>
          <w:sz w:val="24"/>
          <w:szCs w:val="24"/>
        </w:rPr>
        <w:t>issue. If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did not observe a particular situation, address it anyway. For example, if there did not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appear to be any English language learners, indicate that in your paper. Each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should be </w:t>
      </w:r>
      <w:r>
        <w:rPr>
          <w:rFonts w:ascii="Times New Roman" w:hAnsi="Times New Roman" w:cs="Times New Roman"/>
          <w:sz w:val="24"/>
          <w:szCs w:val="24"/>
        </w:rPr>
        <w:t>1-2</w:t>
      </w:r>
      <w:r>
        <w:rPr>
          <w:rFonts w:ascii="Times New Roman" w:hAnsi="Times New Roman" w:cs="Times New Roman"/>
          <w:sz w:val="24"/>
          <w:szCs w:val="24"/>
        </w:rPr>
        <w:t xml:space="preserve"> pages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heading of each of the four papers should include:</w:t>
      </w:r>
    </w:p>
    <w:p w:rsidR="006C1F2D" w:rsidRDefault="006C1F2D" w:rsidP="006C1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Name</w:t>
      </w:r>
    </w:p>
    <w:p w:rsidR="006C1F2D" w:rsidRDefault="006C1F2D" w:rsidP="006C1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EDUC 111</w:t>
      </w:r>
    </w:p>
    <w:p w:rsidR="006C1F2D" w:rsidRPr="006C1F2D" w:rsidRDefault="006C1F2D" w:rsidP="00A64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6C1F2D">
        <w:rPr>
          <w:rFonts w:ascii="Times New Roman" w:hAnsi="Times New Roman" w:cs="Times New Roman"/>
          <w:i/>
          <w:iCs/>
          <w:sz w:val="24"/>
          <w:szCs w:val="24"/>
        </w:rPr>
        <w:t>Paper # (1-4) and Focus Area/Paper Topic</w:t>
      </w:r>
    </w:p>
    <w:p w:rsidR="006C1F2D" w:rsidRPr="006C1F2D" w:rsidRDefault="006C1F2D" w:rsidP="006C1F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1F2D">
        <w:rPr>
          <w:rFonts w:ascii="Times New Roman" w:hAnsi="Times New Roman" w:cs="Times New Roman"/>
          <w:i/>
          <w:iCs/>
          <w:sz w:val="24"/>
          <w:szCs w:val="24"/>
        </w:rPr>
        <w:t>G</w:t>
      </w:r>
      <w:r w:rsidRPr="006C1F2D">
        <w:rPr>
          <w:rFonts w:ascii="Times New Roman" w:hAnsi="Times New Roman" w:cs="Times New Roman"/>
          <w:i/>
          <w:iCs/>
          <w:sz w:val="24"/>
          <w:szCs w:val="24"/>
        </w:rPr>
        <w:t xml:space="preserve">rade </w:t>
      </w:r>
      <w:r>
        <w:rPr>
          <w:rFonts w:ascii="Times New Roman" w:hAnsi="Times New Roman" w:cs="Times New Roman"/>
          <w:i/>
          <w:iCs/>
          <w:sz w:val="24"/>
          <w:szCs w:val="24"/>
        </w:rPr>
        <w:t>Level o</w:t>
      </w:r>
      <w:r w:rsidRPr="006C1F2D">
        <w:rPr>
          <w:rFonts w:ascii="Times New Roman" w:hAnsi="Times New Roman" w:cs="Times New Roman"/>
          <w:i/>
          <w:iCs/>
          <w:sz w:val="24"/>
          <w:szCs w:val="24"/>
        </w:rPr>
        <w:t xml:space="preserve">r Specialty Area </w:t>
      </w:r>
      <w:r>
        <w:rPr>
          <w:rFonts w:ascii="Times New Roman" w:hAnsi="Times New Roman" w:cs="Times New Roman"/>
          <w:i/>
          <w:iCs/>
          <w:sz w:val="24"/>
          <w:szCs w:val="24"/>
        </w:rPr>
        <w:t>of the class you are observing</w:t>
      </w:r>
    </w:p>
    <w:p w:rsidR="006C1F2D" w:rsidRP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papers can address the focus areas in any order, just be sure to indicate which focus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area you are writing about on each of your papers.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DUE DATES FOR OBSERVATION PAPERS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#1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October </w:t>
      </w:r>
      <w:r w:rsidR="007E01DC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#2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November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#3</w:t>
      </w:r>
      <w:r>
        <w:rPr>
          <w:rFonts w:ascii="Times New Roman" w:hAnsi="Times New Roman" w:cs="Times New Roman"/>
          <w:sz w:val="24"/>
          <w:szCs w:val="24"/>
        </w:rPr>
        <w:t>: Monday, November 19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Paper #4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December 3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FOCUS OF OBSERVATIONS 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(If you are unsure of what any of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characteristics mean, please clarify with me).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Make sure you </w:t>
      </w:r>
      <w:r>
        <w:rPr>
          <w:rFonts w:ascii="Times New Roman" w:hAnsi="Times New Roman" w:cs="Times New Roman"/>
          <w:b/>
          <w:bCs/>
          <w:sz w:val="24"/>
          <w:szCs w:val="24"/>
        </w:rPr>
        <w:t>discuss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HOW </w:t>
      </w:r>
      <w:r>
        <w:rPr>
          <w:rFonts w:ascii="Times New Roman" w:hAnsi="Times New Roman" w:cs="Times New Roman"/>
          <w:b/>
          <w:bCs/>
          <w:sz w:val="24"/>
          <w:szCs w:val="24"/>
        </w:rPr>
        <w:t>these characteristics contributed to an effective OR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ineffective learning environment in each of your papers.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CLASSROOM CHARACTERISTICS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Physical arrangement (desks vs. tables, rows vs. other arrangement, learning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stations, reading areas, etc.) and effectiveness of arrangement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Aesthetics (bulletin boards, wall decorations, use of color, student work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displayed, etc.)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Classroom organization (location and accessibility of classroom materials,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equipment, etc.)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CLASSROOM DIVERSITY/DEMOGRAPHICS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Racial/ethnic diversity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lastRenderedPageBreak/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Exceptional students (students with disabilities, gifted students)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Inclusion vs. mainstreaming philosophy (if students with disabilities observed)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English language learners (students whose native language is not English)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Gender breakdown (number of boys vs. girls) and effect on the class dynamics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diverse characteristics observed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Overall observation of the class as a respectful community of learners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CLASSROOM MANAGEMENT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Rules posted in room and/or in written form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Consequences for rule-breaking clearly communicated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Positive reinforcement for appropriate behavior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Progressive discipline procedure for inappropriate behavior</w:t>
      </w:r>
    </w:p>
    <w:p w:rsidR="00714DAD" w:rsidRDefault="006C1F2D" w:rsidP="006C1F2D">
      <w:pPr>
        <w:ind w:left="108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SymbolMT" w:eastAsia="SymbolMT" w:hAnsi="Times New Roman" w:cs="SymbolMT" w:hint="eastAsia"/>
          <w:sz w:val="24"/>
          <w:szCs w:val="24"/>
        </w:rPr>
        <w:t></w:t>
      </w:r>
      <w:r>
        <w:rPr>
          <w:rFonts w:ascii="SymbolMT" w:eastAsia="SymbolMT" w:hAnsi="Times New Roman" w:cs="SymbolMT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Procedures in place for attendance, homework/late work, make-up work, return of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Procedures in place for attendance, homework/late work, make-up work, return of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tests/papers, etc.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Effective transitions from one activity to another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Use of verbal and non-verbal cues by teacher and effectiveness of his/her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interactions with students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Effective student-to-student interactions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rPr>
          <w:rFonts w:ascii="Times New Roman" w:eastAsia="SymbolMT" w:hAnsi="Times New Roman" w:cs="Times New Roman"/>
          <w:b/>
          <w:bCs/>
          <w:sz w:val="24"/>
          <w:szCs w:val="24"/>
        </w:rPr>
      </w:pPr>
      <w:r>
        <w:rPr>
          <w:rFonts w:ascii="Times New Roman" w:eastAsia="SymbolMT" w:hAnsi="Times New Roman" w:cs="Times New Roman"/>
          <w:b/>
          <w:bCs/>
          <w:sz w:val="24"/>
          <w:szCs w:val="24"/>
        </w:rPr>
        <w:t>INSTRUCTIONAL METHODOLOGY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Variety of teaching strategies (lecture, discussion, demonstration, guest speakers,</w:t>
      </w:r>
      <w:r>
        <w:rPr>
          <w:rFonts w:ascii="Times New Roman" w:eastAsia="SymbolMT" w:hAnsi="Times New Roman" w:cs="Times New Roman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field trips, guided practice, seat work, student projects, etc.)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Materials (PowerPoint presentations, handouts, worksheets, videos, games, etc.)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Sufficient wait time (time teacher waits for student response to questions)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Grouping (by ability or otherwise) for instruction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Differentiated (individualized) instruction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Effective use of technology by teacher and/or students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Effective and efficient use of instructional time</w:t>
      </w:r>
    </w:p>
    <w:p w:rsidR="006C1F2D" w:rsidRDefault="006C1F2D" w:rsidP="006C1F2D">
      <w:pPr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eastAsia="SymbolMT" w:hAnsi="Times New Roman" w:cs="Times New Roman"/>
          <w:sz w:val="24"/>
          <w:szCs w:val="24"/>
        </w:rPr>
      </w:pPr>
      <w:r>
        <w:rPr>
          <w:rFonts w:ascii="SymbolMT" w:eastAsia="SymbolMT" w:cs="SymbolMT" w:hint="eastAsia"/>
          <w:sz w:val="24"/>
          <w:szCs w:val="24"/>
        </w:rPr>
        <w:t></w:t>
      </w:r>
      <w:r>
        <w:rPr>
          <w:rFonts w:ascii="SymbolMT" w:eastAsia="SymbolMT" w:cs="SymbolMT"/>
          <w:sz w:val="24"/>
          <w:szCs w:val="24"/>
        </w:rPr>
        <w:t xml:space="preserve"> </w:t>
      </w:r>
      <w:r>
        <w:rPr>
          <w:rFonts w:ascii="Times New Roman" w:eastAsia="SymbolMT" w:hAnsi="Times New Roman" w:cs="Times New Roman"/>
          <w:sz w:val="24"/>
          <w:szCs w:val="24"/>
        </w:rPr>
        <w:t>Tests (or other types of assessments)</w:t>
      </w:r>
    </w:p>
    <w:sectPr w:rsidR="006C1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A0065"/>
    <w:multiLevelType w:val="hybridMultilevel"/>
    <w:tmpl w:val="C1461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2D"/>
    <w:rsid w:val="006C1F2D"/>
    <w:rsid w:val="00714DAD"/>
    <w:rsid w:val="007E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20582"/>
  <w15:chartTrackingRefBased/>
  <w15:docId w15:val="{AD99CB21-B3CC-4C87-B554-307AC912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2018-09-17T14:04:00Z</cp:lastPrinted>
  <dcterms:created xsi:type="dcterms:W3CDTF">2018-09-17T13:46:00Z</dcterms:created>
  <dcterms:modified xsi:type="dcterms:W3CDTF">2018-09-17T16:55:00Z</dcterms:modified>
</cp:coreProperties>
</file>