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3"/>
        <w:gridCol w:w="6131"/>
        <w:gridCol w:w="1872"/>
        <w:gridCol w:w="1764"/>
      </w:tblGrid>
      <w:tr w:rsidR="00C7708A" w:rsidTr="001A5E5B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708A" w:rsidRPr="00FE109C" w:rsidRDefault="00073881" w:rsidP="00C7708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622D87" w:rsidRPr="00FE109C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C7708A" w:rsidRPr="00FE109C">
              <w:rPr>
                <w:rFonts w:ascii="Arial Black" w:hAnsi="Arial Black"/>
                <w:sz w:val="28"/>
                <w:szCs w:val="28"/>
              </w:rPr>
              <w:t xml:space="preserve">Point </w:t>
            </w:r>
            <w:r w:rsidR="00622D87" w:rsidRPr="00FE109C">
              <w:rPr>
                <w:rFonts w:ascii="Arial Black" w:hAnsi="Arial Black"/>
                <w:sz w:val="28"/>
                <w:szCs w:val="28"/>
              </w:rPr>
              <w:t xml:space="preserve">General </w:t>
            </w:r>
            <w:r w:rsidR="00C7708A" w:rsidRPr="00FE109C">
              <w:rPr>
                <w:rFonts w:ascii="Arial Black" w:hAnsi="Arial Black"/>
                <w:sz w:val="28"/>
                <w:szCs w:val="28"/>
              </w:rPr>
              <w:t>Scoring Guide</w:t>
            </w:r>
          </w:p>
        </w:tc>
      </w:tr>
      <w:tr w:rsidR="008E561B" w:rsidTr="00FE109C">
        <w:trPr>
          <w:jc w:val="center"/>
        </w:trPr>
        <w:tc>
          <w:tcPr>
            <w:tcW w:w="481" w:type="pct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8E561B" w:rsidRPr="0012289A" w:rsidRDefault="008E561B" w:rsidP="00610069">
            <w:pPr>
              <w:jc w:val="center"/>
              <w:rPr>
                <w:rFonts w:ascii="Arial Black" w:hAnsi="Arial Black"/>
              </w:rPr>
            </w:pPr>
            <w:r w:rsidRPr="0012289A">
              <w:rPr>
                <w:rFonts w:ascii="Arial Black" w:hAnsi="Arial Black"/>
              </w:rPr>
              <w:t>Score</w:t>
            </w:r>
          </w:p>
        </w:tc>
        <w:tc>
          <w:tcPr>
            <w:tcW w:w="2861" w:type="pct"/>
            <w:tcBorders>
              <w:top w:val="single" w:sz="12" w:space="0" w:color="auto"/>
              <w:bottom w:val="single" w:sz="6" w:space="0" w:color="auto"/>
            </w:tcBorders>
          </w:tcPr>
          <w:p w:rsidR="008E561B" w:rsidRPr="0012289A" w:rsidRDefault="008E561B" w:rsidP="008A6866">
            <w:pPr>
              <w:jc w:val="center"/>
              <w:rPr>
                <w:rFonts w:ascii="Arial Black" w:hAnsi="Arial Black"/>
              </w:rPr>
            </w:pPr>
            <w:r w:rsidRPr="0012289A">
              <w:rPr>
                <w:rFonts w:ascii="Arial Black" w:hAnsi="Arial Black"/>
              </w:rPr>
              <w:t>Criteria</w:t>
            </w:r>
          </w:p>
        </w:tc>
        <w:tc>
          <w:tcPr>
            <w:tcW w:w="1658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8E561B" w:rsidRDefault="008E561B" w:rsidP="00303E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Category</w:t>
            </w:r>
          </w:p>
        </w:tc>
      </w:tr>
      <w:tr w:rsidR="00073881" w:rsidTr="00073881">
        <w:trPr>
          <w:trHeight w:val="2160"/>
          <w:jc w:val="center"/>
        </w:trPr>
        <w:tc>
          <w:tcPr>
            <w:tcW w:w="481" w:type="pct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073881" w:rsidRPr="0012289A" w:rsidRDefault="00E84716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A/</w:t>
            </w:r>
            <w:r w:rsidR="00073881">
              <w:rPr>
                <w:rFonts w:ascii="Arial Black" w:hAnsi="Arial Black"/>
              </w:rPr>
              <w:t>4</w:t>
            </w:r>
          </w:p>
        </w:tc>
        <w:tc>
          <w:tcPr>
            <w:tcW w:w="2861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3881" w:rsidRPr="00BA653B" w:rsidRDefault="00073881" w:rsidP="000738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 xml:space="preserve">Essays earning 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effectively </w:t>
            </w:r>
            <w:r>
              <w:rPr>
                <w:rFonts w:ascii="Arial" w:hAnsi="Arial" w:cs="Arial"/>
                <w:sz w:val="20"/>
                <w:szCs w:val="20"/>
              </w:rPr>
              <w:t xml:space="preserve">demonstrate understanding of the task in the prompt.  The writer’s interpretation or argument is convincing and clearly supports the position.  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The writer’s </w:t>
            </w:r>
            <w:r>
              <w:rPr>
                <w:rFonts w:ascii="Arial" w:hAnsi="Arial" w:cs="Arial"/>
                <w:sz w:val="20"/>
                <w:szCs w:val="20"/>
              </w:rPr>
              <w:t>interpretation or argument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is convincing and has effective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source material, observation, or experiences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.  The </w:t>
            </w:r>
            <w:r>
              <w:rPr>
                <w:rFonts w:ascii="Arial" w:hAnsi="Arial" w:cs="Arial"/>
                <w:sz w:val="20"/>
                <w:szCs w:val="20"/>
              </w:rPr>
              <w:t>writing style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demonstrates an ability to control a wide range of the elements of effective writing but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not </w:t>
            </w:r>
            <w:r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BA653B">
              <w:rPr>
                <w:rFonts w:ascii="Arial" w:hAnsi="Arial" w:cs="Arial"/>
                <w:sz w:val="20"/>
                <w:szCs w:val="20"/>
              </w:rPr>
              <w:t>flawless.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73881" w:rsidRPr="008E561B" w:rsidRDefault="00073881" w:rsidP="00303E5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Meets/Exceeds Expectations</w:t>
            </w:r>
          </w:p>
        </w:tc>
        <w:tc>
          <w:tcPr>
            <w:tcW w:w="834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073881" w:rsidRPr="008E561B" w:rsidRDefault="00073881" w:rsidP="008E561B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E561B">
              <w:rPr>
                <w:rFonts w:ascii="Arial Black" w:hAnsi="Arial Black" w:cs="Arial"/>
                <w:sz w:val="20"/>
                <w:szCs w:val="20"/>
              </w:rPr>
              <w:t>Successful</w:t>
            </w:r>
          </w:p>
        </w:tc>
      </w:tr>
      <w:tr w:rsidR="00073881" w:rsidTr="00073881">
        <w:trPr>
          <w:trHeight w:val="2160"/>
          <w:jc w:val="center"/>
        </w:trPr>
        <w:tc>
          <w:tcPr>
            <w:tcW w:w="481" w:type="pct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073881" w:rsidRPr="0012289A" w:rsidRDefault="00E84716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B/</w:t>
            </w:r>
            <w:r w:rsidR="00073881">
              <w:rPr>
                <w:rFonts w:ascii="Arial Black" w:hAnsi="Arial Black"/>
              </w:rPr>
              <w:t>3</w:t>
            </w:r>
          </w:p>
        </w:tc>
        <w:tc>
          <w:tcPr>
            <w:tcW w:w="2861" w:type="pct"/>
            <w:tcBorders>
              <w:top w:val="single" w:sz="12" w:space="0" w:color="auto"/>
            </w:tcBorders>
            <w:vAlign w:val="center"/>
          </w:tcPr>
          <w:p w:rsidR="00073881" w:rsidRPr="00BA653B" w:rsidRDefault="00073881" w:rsidP="000738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 xml:space="preserve">Essays earning a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adequately take a position that </w:t>
            </w:r>
            <w:r>
              <w:rPr>
                <w:rFonts w:ascii="Arial" w:hAnsi="Arial" w:cs="Arial"/>
                <w:sz w:val="20"/>
                <w:szCs w:val="20"/>
              </w:rPr>
              <w:t>demonstrates understanding of the task in the prompt.  The writer’s interpretation or argument is generally convincing and supports the position, but lacks sophistication or is less coherent than essays receiving a higher score.  Though the language may contain lapses in diction or syntax, overall the prose is clear and understandable, demonstrating an ability to control the elements of effective writing.</w:t>
            </w:r>
          </w:p>
        </w:tc>
        <w:tc>
          <w:tcPr>
            <w:tcW w:w="824" w:type="pct"/>
            <w:tcBorders>
              <w:top w:val="single" w:sz="12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73881" w:rsidRDefault="00073881" w:rsidP="00303E5A">
            <w:pPr>
              <w:jc w:val="center"/>
              <w:rPr>
                <w:rFonts w:ascii="Arial Black" w:hAnsi="Arial Black"/>
              </w:rPr>
            </w:pPr>
          </w:p>
          <w:p w:rsidR="00073881" w:rsidRPr="008E561B" w:rsidRDefault="00073881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Meets Expectations</w:t>
            </w:r>
          </w:p>
          <w:p w:rsidR="00073881" w:rsidRPr="0012289A" w:rsidRDefault="00073881" w:rsidP="00303E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34" w:type="pct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073881" w:rsidRDefault="00073881" w:rsidP="008E561B">
            <w:pPr>
              <w:jc w:val="center"/>
              <w:rPr>
                <w:rFonts w:ascii="Arial Black" w:hAnsi="Arial Black"/>
              </w:rPr>
            </w:pPr>
          </w:p>
        </w:tc>
      </w:tr>
      <w:tr w:rsidR="00073881" w:rsidTr="00073881">
        <w:trPr>
          <w:trHeight w:val="2160"/>
          <w:jc w:val="center"/>
        </w:trPr>
        <w:tc>
          <w:tcPr>
            <w:tcW w:w="481" w:type="pct"/>
            <w:tcBorders>
              <w:top w:val="single" w:sz="24" w:space="0" w:color="auto"/>
            </w:tcBorders>
            <w:shd w:val="clear" w:color="auto" w:fill="CCCCCC"/>
            <w:vAlign w:val="center"/>
          </w:tcPr>
          <w:p w:rsidR="00073881" w:rsidRPr="0012289A" w:rsidRDefault="00E84716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C/</w:t>
            </w:r>
            <w:r w:rsidR="00073881">
              <w:rPr>
                <w:rFonts w:ascii="Arial Black" w:hAnsi="Arial Black"/>
              </w:rPr>
              <w:t>2</w:t>
            </w:r>
          </w:p>
        </w:tc>
        <w:tc>
          <w:tcPr>
            <w:tcW w:w="2861" w:type="pct"/>
            <w:tcBorders>
              <w:top w:val="single" w:sz="24" w:space="0" w:color="auto"/>
            </w:tcBorders>
            <w:vAlign w:val="center"/>
          </w:tcPr>
          <w:p w:rsidR="00073881" w:rsidRPr="00BA653B" w:rsidRDefault="00073881" w:rsidP="000738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 xml:space="preserve">Essays earning 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inadequately </w:t>
            </w:r>
            <w:r>
              <w:rPr>
                <w:rFonts w:ascii="Arial" w:hAnsi="Arial" w:cs="Arial"/>
                <w:sz w:val="20"/>
                <w:szCs w:val="20"/>
              </w:rPr>
              <w:t>demonstrate understanding of the task in the prompt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. They attempt to present an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interpretation or 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argument and support their position, but may misunderstand, misrepresent, or oversimplify either their own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interpretation or 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argument </w:t>
            </w:r>
            <w:r>
              <w:rPr>
                <w:rFonts w:ascii="Arial" w:hAnsi="Arial" w:cs="Arial"/>
                <w:sz w:val="20"/>
                <w:szCs w:val="20"/>
              </w:rPr>
              <w:t>along with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the support they include. The link between the </w:t>
            </w:r>
            <w:r>
              <w:rPr>
                <w:rFonts w:ascii="Arial" w:hAnsi="Arial" w:cs="Arial"/>
                <w:sz w:val="20"/>
                <w:szCs w:val="20"/>
              </w:rPr>
              <w:t>interpretation or argument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and the support is weak.  The </w:t>
            </w:r>
            <w:r>
              <w:rPr>
                <w:rFonts w:ascii="Arial" w:hAnsi="Arial" w:cs="Arial"/>
                <w:sz w:val="20"/>
                <w:szCs w:val="20"/>
              </w:rPr>
              <w:t>writing style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essays may suggest immature control of writing.</w:t>
            </w:r>
          </w:p>
        </w:tc>
        <w:tc>
          <w:tcPr>
            <w:tcW w:w="824" w:type="pct"/>
            <w:tcBorders>
              <w:top w:val="single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73881" w:rsidRPr="008E561B" w:rsidRDefault="00073881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Approaching Expectations</w:t>
            </w:r>
          </w:p>
        </w:tc>
        <w:tc>
          <w:tcPr>
            <w:tcW w:w="834" w:type="pct"/>
            <w:vMerge w:val="restart"/>
            <w:tcBorders>
              <w:top w:val="single" w:sz="24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073881" w:rsidRPr="008E561B" w:rsidRDefault="00073881" w:rsidP="008E561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E561B">
              <w:rPr>
                <w:rFonts w:ascii="Arial Black" w:hAnsi="Arial Black"/>
                <w:sz w:val="20"/>
                <w:szCs w:val="20"/>
              </w:rPr>
              <w:t>Unsuccessful</w:t>
            </w:r>
          </w:p>
        </w:tc>
      </w:tr>
      <w:tr w:rsidR="00073881" w:rsidTr="00073881">
        <w:trPr>
          <w:trHeight w:val="2160"/>
          <w:jc w:val="center"/>
        </w:trPr>
        <w:tc>
          <w:tcPr>
            <w:tcW w:w="481" w:type="pct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073881" w:rsidRPr="0012289A" w:rsidRDefault="00E84716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D/</w:t>
            </w:r>
            <w:r w:rsidR="00073881">
              <w:rPr>
                <w:rFonts w:ascii="Arial Black" w:hAnsi="Arial Black"/>
              </w:rPr>
              <w:t>1</w:t>
            </w:r>
          </w:p>
        </w:tc>
        <w:tc>
          <w:tcPr>
            <w:tcW w:w="2861" w:type="pct"/>
            <w:tcBorders>
              <w:top w:val="single" w:sz="12" w:space="0" w:color="auto"/>
            </w:tcBorders>
            <w:vAlign w:val="center"/>
          </w:tcPr>
          <w:p w:rsidR="00073881" w:rsidRPr="00BA653B" w:rsidRDefault="00073881" w:rsidP="000738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 xml:space="preserve">Essays earning a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demonstrate success in </w:t>
            </w:r>
            <w:r>
              <w:rPr>
                <w:rFonts w:ascii="Arial" w:hAnsi="Arial" w:cs="Arial"/>
                <w:sz w:val="20"/>
                <w:szCs w:val="20"/>
              </w:rPr>
              <w:t>understanding the task in the prompt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.  They may merely allude to knowledge gained from reading the sources rather than citing the sources themselves.  These essays may misread the sources, fail to present an argument, or substitute a simpler task by merely responding to the question tangentially or by summarizing the sources.  The </w:t>
            </w:r>
            <w:r>
              <w:rPr>
                <w:rFonts w:ascii="Arial" w:hAnsi="Arial" w:cs="Arial"/>
                <w:sz w:val="20"/>
                <w:szCs w:val="20"/>
              </w:rPr>
              <w:t>writing style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of these essays often demonstrates consistent weaknesses in writing, such as a lack of development or organization, grammatical problems, or lack of control.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73881" w:rsidRPr="008E561B" w:rsidRDefault="00073881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Not Meeting Expectations</w:t>
            </w:r>
          </w:p>
        </w:tc>
        <w:tc>
          <w:tcPr>
            <w:tcW w:w="83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</w:tcPr>
          <w:p w:rsidR="00073881" w:rsidRDefault="00073881" w:rsidP="00303E5A">
            <w:pPr>
              <w:jc w:val="center"/>
              <w:rPr>
                <w:rFonts w:ascii="Arial Black" w:hAnsi="Arial Black"/>
              </w:rPr>
            </w:pPr>
          </w:p>
        </w:tc>
      </w:tr>
      <w:tr w:rsidR="008E561B" w:rsidTr="00FE109C">
        <w:trPr>
          <w:trHeight w:val="1008"/>
          <w:jc w:val="center"/>
        </w:trPr>
        <w:tc>
          <w:tcPr>
            <w:tcW w:w="4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8E561B" w:rsidRPr="0012289A" w:rsidRDefault="00E84716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F/</w:t>
            </w:r>
            <w:bookmarkStart w:id="0" w:name="_GoBack"/>
            <w:bookmarkEnd w:id="0"/>
            <w:r w:rsidR="008E561B" w:rsidRPr="0012289A">
              <w:rPr>
                <w:rFonts w:ascii="Arial Black" w:hAnsi="Arial Black"/>
              </w:rPr>
              <w:t>0</w:t>
            </w:r>
          </w:p>
        </w:tc>
        <w:tc>
          <w:tcPr>
            <w:tcW w:w="28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61B" w:rsidRPr="00BA653B" w:rsidRDefault="00A14BF5" w:rsidP="00303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53B">
              <w:rPr>
                <w:rFonts w:ascii="Arial" w:hAnsi="Arial" w:cs="Arial"/>
                <w:sz w:val="20"/>
                <w:szCs w:val="20"/>
              </w:rPr>
              <w:t xml:space="preserve">Essays earning a </w:t>
            </w:r>
            <w:r w:rsidR="00E82899" w:rsidRPr="00BA653B">
              <w:rPr>
                <w:rFonts w:ascii="Arial" w:hAnsi="Arial" w:cs="Arial"/>
                <w:sz w:val="20"/>
                <w:szCs w:val="20"/>
              </w:rPr>
              <w:t>0 merely repeat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the prompt or </w:t>
            </w:r>
            <w:r w:rsidR="007D60BE" w:rsidRPr="00BA653B">
              <w:rPr>
                <w:rFonts w:ascii="Arial" w:hAnsi="Arial" w:cs="Arial"/>
                <w:sz w:val="20"/>
                <w:szCs w:val="20"/>
              </w:rPr>
              <w:t>are</w:t>
            </w:r>
            <w:r w:rsidRPr="00BA653B">
              <w:rPr>
                <w:rFonts w:ascii="Arial" w:hAnsi="Arial" w:cs="Arial"/>
                <w:sz w:val="20"/>
                <w:szCs w:val="20"/>
              </w:rPr>
              <w:t xml:space="preserve"> completely off topic.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8E561B" w:rsidRPr="008E561B" w:rsidRDefault="008E561B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E561B">
              <w:rPr>
                <w:rFonts w:ascii="Arial Black" w:hAnsi="Arial Black"/>
                <w:sz w:val="20"/>
                <w:szCs w:val="20"/>
              </w:rPr>
              <w:t>Off Topic</w:t>
            </w:r>
          </w:p>
        </w:tc>
        <w:tc>
          <w:tcPr>
            <w:tcW w:w="83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</w:tcPr>
          <w:p w:rsidR="008E561B" w:rsidRDefault="008E561B" w:rsidP="00303E5A">
            <w:pPr>
              <w:jc w:val="center"/>
              <w:rPr>
                <w:rFonts w:ascii="Arial Black" w:hAnsi="Arial Black"/>
              </w:rPr>
            </w:pPr>
          </w:p>
        </w:tc>
      </w:tr>
    </w:tbl>
    <w:p w:rsidR="00610069" w:rsidRDefault="00610069" w:rsidP="007D60BE"/>
    <w:sectPr w:rsidR="00610069" w:rsidSect="00443A36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69"/>
    <w:rsid w:val="00040AC2"/>
    <w:rsid w:val="000453F9"/>
    <w:rsid w:val="00073881"/>
    <w:rsid w:val="0012289A"/>
    <w:rsid w:val="001A5E5B"/>
    <w:rsid w:val="00205620"/>
    <w:rsid w:val="00260FF2"/>
    <w:rsid w:val="002B67F0"/>
    <w:rsid w:val="00303E5A"/>
    <w:rsid w:val="00337BD3"/>
    <w:rsid w:val="003473E3"/>
    <w:rsid w:val="0040739F"/>
    <w:rsid w:val="00443A36"/>
    <w:rsid w:val="004512D6"/>
    <w:rsid w:val="00610069"/>
    <w:rsid w:val="00622D87"/>
    <w:rsid w:val="00734981"/>
    <w:rsid w:val="007D60BE"/>
    <w:rsid w:val="00852688"/>
    <w:rsid w:val="008A6866"/>
    <w:rsid w:val="008E561B"/>
    <w:rsid w:val="009E5B48"/>
    <w:rsid w:val="00A14BF5"/>
    <w:rsid w:val="00A85839"/>
    <w:rsid w:val="00BA653B"/>
    <w:rsid w:val="00C421F7"/>
    <w:rsid w:val="00C7708A"/>
    <w:rsid w:val="00C84ED7"/>
    <w:rsid w:val="00DF160A"/>
    <w:rsid w:val="00E82899"/>
    <w:rsid w:val="00E84716"/>
    <w:rsid w:val="00F26FBD"/>
    <w:rsid w:val="00FE109C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746C1"/>
  <w15:chartTrackingRefBased/>
  <w15:docId w15:val="{8876FDCC-D557-4524-B6B1-9ECAAB7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</vt:lpstr>
    </vt:vector>
  </TitlesOfParts>
  <Company>Round Lake High School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</dc:title>
  <dc:subject/>
  <dc:creator>John Blase</dc:creator>
  <cp:keywords/>
  <dc:description/>
  <cp:lastModifiedBy>Windows User</cp:lastModifiedBy>
  <cp:revision>3</cp:revision>
  <cp:lastPrinted>2008-08-25T22:53:00Z</cp:lastPrinted>
  <dcterms:created xsi:type="dcterms:W3CDTF">2018-01-16T21:07:00Z</dcterms:created>
  <dcterms:modified xsi:type="dcterms:W3CDTF">2018-01-16T21:13:00Z</dcterms:modified>
</cp:coreProperties>
</file>